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2009/78 vom 6. Mai 2010</w:t>
      </w:r>
    </w:p>
    <w:p>
      <w:r>
        <w:t>Sg Versicherungsgericht, 2010-05-06, DE</w:t>
      </w:r>
    </w:p>
    <w:p>
      <w:r>
        <w:rPr>
          <w:b/>
        </w:rPr>
        <w:t xml:space="preserve">Quelle: </w:t>
      </w:r>
      <w:r>
        <w:t>https://mcp.opencaselaw.ch/entscheid/sg_publikationen_IV 2009_78</w:t>
      </w:r>
    </w:p>
    <w:p>
      <w:r>
        <w:t>FR: SG_VERSICHERUNGSGERICHT IV 2009/78 du 6 mai 2010</w:t>
      </w:r>
    </w:p>
    <w:p>
      <w:r>
        <w:t>IT: SG_VERSICHERUNGSGERICHT IV 2009/78 del 6 maggio 2010</w:t>
      </w:r>
    </w:p>
    <w:p>
      <w:pPr>
        <w:pStyle w:val="Heading2"/>
      </w:pPr>
      <w:r>
        <w:t>Regeste</w:t>
      </w:r>
    </w:p>
    <w:p>
      <w:r>
        <w:t>Art. 28a Abs. 1 IVG. Eingliederung vor Rente. Die Beschwerdegegnerin hätte erst nach Durchführung der Eingliederungsmassnahmen über den Rentenanspruch des Beschwerdeführers verfügen dürfen. Vor Durchführung der Eingliederung konnte ein Rentenanspruch nicht ohne weiteres ausgeschlossen werden, so dass die rentenablehnende Verfügung aufzuheben ist (Entscheid des Versicherungsgerichts des Kantons St. Gallen vom 6. Mai 2010, IV 2009/78).</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28. Januar 2009,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w:t>
      </w:r>
    </w:p>
    <w:p>
      <w:r>
        <w:t>Gegenstand der angefochtenen Verfügung und damit auch Gegenstand des vorliegenden Verfahrens ist der Rentenanspruch des Beschwerdeführers. Diesbezüglich gilt es vorliegend zu prüfen, ob die Beschwerdegegnerin den Rentenanspruch des Beschwerdeführers zu Recht abgelehnt hat bzw. ob sie im betreffenden Zeitpunkt überhaupt befugt war, über den Rentenanspruch zu verfügen. Nicht Gegenstand des vorliegenden Verfahrens bildet demgegenüber der Anspruch des Beschwerdeführers auf berufliche Massnahmen, hat die Beschwerdegegnerin diesbezüglich doch ein separates Verfahren eröffnet.</w:t>
      </w:r>
    </w:p>
    <w:p>
      <w:r>
        <w:rPr>
          <w:b/>
        </w:rPr>
        <w:t>E. 3.1</w:t>
      </w:r>
    </w:p>
    <w:p>
      <w:r>
        <w:t>Die Prüfung eines Rentenanspruchs kann gemäss Art. 28a Abs. 1 IVG grundsätzlich erst dann vorgenommen werden, wenn allfällige Eingliederungsmassnahmen durchgeführt worden sind. Nach dem Grundsatz "Eingliederung vor Rente" kann der Invaliditätsgrad erst ermittelt werden, wenn Eingliederungsmassnahmen zumindest geprüft wurden. Die Arbeitsvermittlung fällt nicht unter den Grundsatz "Eingliederung vor Rente" (vgl. Urteil des Eidgenössischen Versicherungsgerichts [EVG; ab 1. Januar 2007: Sozialrechtliche Abteilungen des Bundesgerichts] vom 7. Juni 2000, E. 5); sie hat keinen Einfluss auf einen allfälligen Rentenanspruch. Das Invalideneinkommen kann durch eine Arbeitsvermittlung nicht erhöht werden, da dieses unter dem Gesichtspunkt der Zumutbarkeit bestimmt wird.</w:t>
      </w:r>
    </w:p>
    <w:p>
      <w:r>
        <w:rPr>
          <w:b/>
        </w:rPr>
        <w:t>E. 3.2</w:t>
      </w:r>
    </w:p>
    <w:p>
      <w:r>
        <w:t>Der Grundsatz "Eingliederung vor Rente" ist in jedem Fall dann zu beachten, wenn man von einer versicherten Person erwarten kann, dass sie sich Eingliederungsmassnahmen unterzieht, nach deren Durchführung sie vermutlich ein Einkommen erzielen könnte, das einen Rentenanspruch ausschliessen würde (ZAK 1970, S. 416). Solange also noch die Möglichkeit der beruflichen Eingliederung besteht, ist es der Beschwerdegegnerin nicht gestattet, über einen Rentenanspruch zu befinden. Wenn allerdings von vornherein klar ist, dass kein Rentenanspruch besteht, kann vor der Prüfung der Eingliederungsmassnahmen eine rentenabweisende Verfügung erlassen werden, da eine berufliche Massnahme in diesem Fall keinen rentenbegründenden Effekt haben kann. Eine frühe Klärung der Rentenfrage kann allenfalls sogar förderlich für eine Eingliederung sein, da sich die versicherte Person voll darauf konzentrieren kann.</w:t>
      </w:r>
    </w:p>
    <w:p>
      <w:r>
        <w:rPr>
          <w:b/>
        </w:rPr>
        <w:t>E. 3.3</w:t>
      </w:r>
    </w:p>
    <w:p>
      <w:r>
        <w:t>Nachfolgend ist zu prüfen, ob vorliegend ein Rentenanspruch von vornherein, ohne genauere Berechnungen, verneint werden kann. Falls dies nicht der Fall ist, hat die Beschwerdegegnerin den Grundsatz "Eingliederung vor Rente" verletzt.</w:t>
      </w:r>
    </w:p>
    <w:p>
      <w:r>
        <w:rPr>
          <w:b/>
        </w:rPr>
        <w:t>E. 4.1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4.2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5</w:t>
      </w:r>
    </w:p>
    <w:p>
      <w:r>
        <w:t>In medizinischer Hinsicht stützt sich die angefochtene Verfügung auf das MEDAS-Gutachten vom 29. Januar 2008 (act. G 10.1.115). Darin haben die Ärzte dem Beschwerdeführer aus psychiatrischen Gründen eine 30%ige Arbeitsunfähigkeit attestiert. Dieser hält das Gutachten nicht für beweistauglich und macht eine höhere Arbeitsunfähigkeit geltend. Wie es sich damit verhält, braucht in diesem Verfahren nicht abschliessend geklärt zu werden. Allerdings erscheinen die vom Beschwerdeführer gegen das MEDAS-Gutachten vorgebrachten Rügen auf den ersten Blick als nicht stichhaltig. Für die Beurteilung der Frage, ob die Beschwerdegegnerin den Grundsatz "Eingliederung vor Rente" verletzt hat, braucht vorliegend jedoch einzig geprüft zu werden, ob ein Rentenanspruch des Beschwerdeführers von vornherein, also ohne genaue Berechnung des Invaliditätsgrads, verneint werden kann oder nicht. Diese Frage kann aufgrund der vorliegenden Akten beantwortet werden, wie nachfolgend dargelegt wird.</w:t>
      </w:r>
    </w:p>
    <w:p>
      <w:r>
        <w:rPr>
          <w:b/>
        </w:rPr>
        <w:t>E. 6.1</w:t>
      </w:r>
    </w:p>
    <w:p>
      <w:r>
        <w:t>Der Grad der für einen allfälligen Rentenanspruch massgebenden Invalidität wird gemäss Art. 16 ATSG durch einen Einkommensvergleich ermittelt, bei dem das Einkommen, das die versicherte Person nach Eintritt der Invalidität und nach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6.2</w:t>
      </w:r>
    </w:p>
    <w:p>
      <w:r>
        <w:t>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vom 16. Mai 2001, I 42/01, mit Hinweisen). Diese Praxis wird mit der empirischen Feststellung begründet, dass die bisherige Tätigkeit im Gesundheitsfall in der Regel weitergeführt worden wäre (Urteil des EVG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w:t>
      </w:r>
    </w:p>
    <w:p>
      <w:r>
        <w:rPr>
          <w:b/>
        </w:rPr>
        <w:t>E. 6.3</w:t>
      </w:r>
    </w:p>
    <w:p>
      <w:r>
        <w:t>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(BGE 129 V 481 E. 4.2.3, mit Hinweisen).</w:t>
      </w:r>
    </w:p>
    <w:p>
      <w:r>
        <w:rPr>
          <w:b/>
        </w:rPr>
        <w:t>E. 7.1</w:t>
      </w:r>
    </w:p>
    <w:p>
      <w:r>
        <w:t>Vorliegend hat die Beschwerdegegnerin gestützt auf das MEDAS-Gutachten, wonach der Beschwerdeführer zu 30% arbeitsunfähig ist, einen Invaliditätsgrad von 30% ermittelt. Faktisch hat sie einen Prozentvergleich vorgenommen, indem sie als Valideneinkommen vom Einkommen des Beschwerdeführers als Postverteiler bei der A.___ ausgegangen ist und den entsprechenden Betrag für die Bemessung des Invalideneinkommens offenbar auf ein 70%-Pensum umgerechnet hat (vgl. act. G 10.1.128-2).</w:t>
      </w:r>
    </w:p>
    <w:p>
      <w:r>
        <w:rPr>
          <w:b/>
        </w:rPr>
        <w:t>E. 7.2</w:t>
      </w:r>
    </w:p>
    <w:p>
      <w:r>
        <w:t>Dieser Einkommensvergleich erscheint fragwürdig. Abgesehen davon, dass der Beschwerdeführer im Zeitpunkt der angefochtenen Verfügung nicht mehr bei der A.___ beschäftigt war, sondern bereits das Pachtverhältnis betreffend das nicht rentierende Restaurant F.___ gekündigt hatte, fällt auf, dass das von der Beschwerdegegnerin für das Jahr 2008 ermittelte Valideneinkommen von Fr. 63'028.-- unter dem vom Beschwerdeführer im Jahr 2003 als Gesunder erzielten Verdienst von Fr. 64'304.-- liegt (vgl. act. G 10.1.119). Im "Fragebogen für den Arbeitgeber" hatte die A.___ am 22. Juli 2004 angegeben, der Beschwerdeführer würde im Gesundheitsfall ein Einkommen von Fr. 64'197.-- verdienen (act. G 10.1.11). Aus den Akten ergeben sich keine Anhaltspunkte dafür, dass diese Angaben unzutreffend sind. Das Invalideneinkommen des Beschwerdeführers wäre im Zeitpunkt der angefochtenen Verfügung gestützt auf Tabellenlöhne zu ermitteln gewesen, da dieser damals nicht in einem stabilen Arbeitsverhältnis stand. Im Jahr 2004 betrug der Tabellenlohn für männliche Hilfsarbeiter unter Berücksichtigung der damals üblichen Wochenarbeitszeit von 41.6 Stunden umgerechnet auf ein 70%-Pensum Fr. 40'081.--. Dieser Betrag liegt deutlich unter dem von der Beschwerdegegnerin ermittelten Invalideneinkommen von Fr. 44'120.--. Zudem wäre die Vornahme eines Leidenszugs vom Invalideneinkommen zu prüfen gewesen. Ausgehend von den korrigierten Vergleichseinkommen (Valideneinkommen Fr. 64'197.-, Invalideneinkommen Fr. 40'081.--) hätte bereits bei einem Leidensabzug von 5% ein rentenbegründender Invaliditätsgrad resultiert. Ein Leidensabzug in (mindestens) diesem Umfang wäre vorliegend allein schon aufgrund des Umstands, dass der Beschwerdeführer nur noch einer Teilzeittätigkeit nachgehen konnte, vorzunehmen gewesen. Aufgrund der Einschränkungen des Beschwerdeführers, die nicht alle in die Arbeitsfähigkeitsbeurteilung Eingange gefunden haben (vgl. act. G 10.1.115-10), hätte sich noch ein zusätzlicher Abzug aufgedrängt, wobei die Höhe dieses Abzugs vorliegend nicht beurteilt werden muss.</w:t>
      </w:r>
    </w:p>
    <w:p>
      <w:r>
        <w:rPr>
          <w:b/>
        </w:rPr>
        <w:t>E. 7.3</w:t>
      </w:r>
    </w:p>
    <w:p>
      <w:r>
        <w:t>Nach dem Gesagten steht fest, dass die angefochtene Verfügung den Grundsatz "Eingliederung vor Rente" verletzt. Die Beschwerdegegnerin hat zu früh, d.h. vor Abschluss der beruflichen Massnahmen, über den Rentenanspruch des Beschwerdeführers befunden. Die angefochtene Verfügung ist daher aufzuheben. Die Beschwerdegegnerin wird zuerst das (bereits eingeleitete) Verfahren betreffend die berufliche Eingliederung zu Ende führen müssen. Diesbezüglich stellt sich auch die Frage nach der sozialpraktischen Verwertbarkeit des verbliebenen Leistungsvermögens des Beschwerdeführers, nachdem dieser durch seine krankheitsbedingten "Ausraster" das Verbleiben an einer Arbeitsstelle wiederholt verunmöglicht hat. In medizinischer Hinsicht wird sie den Verlauf der Arbeitsfähigkeit des Beschwerdeführers abzuklären haben, macht dieser doch eine Verschlechterung seines Gesundheitszustands geltend. Es erscheint daher sinnvoll, bei der MEDAS ein Verlaufsgutachten einzuholen, wobei sich die Ärztinnen und Ärzte auch mit den Ergebnissen der beruflichen Abklärung auseinandersetzen werden müssen. Im Anschluss daran wird die Beschwerdegegnerin unter Einbezug und Würdigung der Ergebnisse der beruflichen und der medizinischen Abklärungen erneut über den Rentenanspruch des Beschwerdeführers zu befinden haben.</w:t>
      </w:r>
    </w:p>
    <w:p>
      <w:r>
        <w:rPr>
          <w:b/>
        </w:rPr>
        <w:t>E. 8.1</w:t>
      </w:r>
    </w:p>
    <w:p>
      <w:r>
        <w:t>Im Sinn der vorstehenden Erwägungen ist die Beschwerde teilweise gutzuheissen, und die angefochtene Verfügung vom 28. Januar 2009 ist aufzuheben. Die Sache ist zu weiteren Abklärungen und neuer Verfügung an die Beschwerdegegnerin zurückzuweisen.</w:t>
      </w:r>
    </w:p>
    <w:p>
      <w:r>
        <w:rPr>
          <w:b/>
        </w:rPr>
        <w:t>E. 8.2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vom Beschwerdeführer geleistete Kostenvorschuss von Fr. 600.-- zurückzuerstatten.</w:t>
      </w:r>
    </w:p>
    <w:p>
      <w:r>
        <w:rPr>
          <w:b/>
        </w:rPr>
        <w:t>E. 8.3</w:t>
      </w:r>
    </w:p>
    <w:p>
      <w:r>
        <w:t>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Vertreter des Beschwerdeführers hat am 10. Dezember 2009 eine Kostennote über Fr. 4'259.15 (inkl. Barauslagen und Mehrwertsteuer; act. G 21.2) eingereicht. Eine Entschädigung in dieser Höhe erscheint der Bedeutung der Streitsache und dem Aufwand angemessen. Demgemäss hat das Versicherungsgericht entschieden: 1.  In teilweiser Gutheissung der Beschwerde wird die Verfügung vom 28. Januar 2009 aufgehoben, und die Sache wird zu weiteren Abklärungen und zu anschliessender neuer Verfügung an die Beschwerdegegnerin zurückgewiesen. 2.  Die Beschwerdegegnerin bezahlt eine Gerichtsgebühr von Fr. 600.--. Der geleistete Kostenvorschuss von Fr. 600.-- wird dem Beschwerdeführer zurückerstattet. 3.  Die Beschwerdegegnerin hat der Beschwerdeführerin eine Parteientschädigung von Fr. 4'259.15.--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